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8F" w:rsidRPr="00892E0D" w:rsidRDefault="00E2618F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E2618F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2618F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E2618F" w:rsidRPr="00892E0D" w:rsidRDefault="00E2618F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2618F" w:rsidRPr="00892E0D">
        <w:tc>
          <w:tcPr>
            <w:tcW w:w="236" w:type="dxa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2618F" w:rsidRPr="00892E0D">
        <w:tc>
          <w:tcPr>
            <w:tcW w:w="236" w:type="dxa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E2618F" w:rsidRPr="00892E0D">
        <w:tc>
          <w:tcPr>
            <w:tcW w:w="236" w:type="dxa"/>
            <w:tcBorders>
              <w:lef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E2618F" w:rsidRPr="00892E0D" w:rsidRDefault="00E2618F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E2618F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E2618F" w:rsidRPr="00892E0D" w:rsidRDefault="00E2618F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E2618F" w:rsidRPr="00892E0D" w:rsidRDefault="00E2618F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E2618F" w:rsidRPr="00892E0D" w:rsidRDefault="00E2618F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E2618F" w:rsidRPr="00892E0D" w:rsidRDefault="00E2618F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E2618F" w:rsidRDefault="00E2618F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E2618F" w:rsidRPr="002B6A76" w:rsidRDefault="00E2618F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E2618F" w:rsidRPr="00892E0D" w:rsidRDefault="00E2618F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E2618F" w:rsidRPr="00892E0D" w:rsidRDefault="00E2618F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E2618F" w:rsidRPr="00892E0D" w:rsidRDefault="00E2618F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2618F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E2618F" w:rsidRPr="00892E0D" w:rsidRDefault="00E2618F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2618F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E2618F" w:rsidRDefault="00E2618F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E2618F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2618F" w:rsidRDefault="00E2618F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E2618F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E2618F" w:rsidRPr="00892E0D" w:rsidRDefault="00E2618F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E2618F" w:rsidRPr="00CD2587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818.519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C87C8D" w:rsidRDefault="00E2618F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E2618F" w:rsidRPr="00C87C8D" w:rsidRDefault="00C87C8D" w:rsidP="00C87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823.041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  <w:p w:rsidR="00E2618F" w:rsidRPr="00B908F5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E2618F" w:rsidRPr="0030728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642410" w:rsidRDefault="00642410" w:rsidP="00733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25.023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57455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D32B7D" w:rsidRDefault="00E2618F" w:rsidP="00733F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E2618F" w:rsidRPr="00457455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B908F5">
            <w:pPr>
              <w:pStyle w:val="TableContents"/>
              <w:tabs>
                <w:tab w:val="center" w:pos="672"/>
              </w:tabs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2618F" w:rsidRPr="00CD2587" w:rsidRDefault="00642410" w:rsidP="00B908F5">
            <w:pPr>
              <w:pStyle w:val="TableContents"/>
              <w:tabs>
                <w:tab w:val="center" w:pos="672"/>
              </w:tabs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6.621.335</w:t>
            </w:r>
            <w:r w:rsidR="00E2618F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 w:rsidR="00E2618F" w:rsidRPr="00457455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="00C87C8D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6.621.335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661D0A" w:rsidRDefault="00E2618F">
            <w:pPr>
              <w:pStyle w:val="TableContents"/>
              <w:snapToGrid w:val="0"/>
              <w:jc w:val="both"/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</w:t>
            </w:r>
            <w:r w:rsidR="003A2BCA" w:rsidRPr="00661D0A">
              <w:rPr>
                <w:rFonts w:ascii="Calibri" w:eastAsia="Times New Roman" w:hAnsi="Calibri" w:cs="StobiSerif Regular"/>
                <w:color w:val="000000"/>
                <w:sz w:val="18"/>
                <w:szCs w:val="18"/>
              </w:rPr>
              <w:t xml:space="preserve">      </w:t>
            </w:r>
            <w:r w:rsidR="00642410" w:rsidRPr="00661D0A">
              <w:rPr>
                <w:rFonts w:ascii="Calibri" w:eastAsia="Times New Roman" w:hAnsi="Calibri" w:cs="StobiSerif Regular"/>
                <w:b/>
                <w:color w:val="000000"/>
                <w:sz w:val="20"/>
                <w:szCs w:val="20"/>
              </w:rPr>
              <w:t>18.619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30728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="00C87C8D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56.087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2618F" w:rsidRDefault="00E2618F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E2618F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661D0A" w:rsidRDefault="00E2618F">
            <w:pPr>
              <w:pStyle w:val="TableContents"/>
              <w:snapToGrid w:val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="00642410" w:rsidRPr="00661D0A">
              <w:rPr>
                <w:rFonts w:ascii="Calibri" w:eastAsia="Times New Roman" w:hAnsi="Calibri" w:cs="StobiSerif Regular"/>
                <w:color w:val="000000"/>
                <w:sz w:val="18"/>
                <w:szCs w:val="18"/>
              </w:rPr>
              <w:t>1.885.426</w:t>
            </w:r>
          </w:p>
          <w:p w:rsidR="00E2618F" w:rsidRPr="0047071F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Default="00E2618F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30728D" w:rsidRDefault="00C87C8D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>3.172.045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CD2587" w:rsidRDefault="00E2618F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="00642410">
              <w:rPr>
                <w:rFonts w:eastAsia="Times New Roman"/>
                <w:color w:val="000000"/>
                <w:sz w:val="18"/>
                <w:szCs w:val="18"/>
              </w:rPr>
              <w:t>9.751.512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3C06EA" w:rsidRDefault="00C87C8D" w:rsidP="00C87C8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>148.558.440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D32B7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D34BFE" w:rsidRDefault="00E2618F" w:rsidP="00D32B7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7A3ECA">
              <w:rPr>
                <w:b/>
                <w:bCs/>
                <w:lang w:val="en-US"/>
              </w:rPr>
              <w:t xml:space="preserve">     </w:t>
            </w:r>
            <w:r w:rsidR="00D34BFE">
              <w:rPr>
                <w:b/>
                <w:bCs/>
                <w:sz w:val="20"/>
                <w:szCs w:val="20"/>
                <w:lang w:val="en-US"/>
              </w:rPr>
              <w:t>1.862.935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E2618F" w:rsidRDefault="00E2618F" w:rsidP="00077FEB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E2618F" w:rsidRPr="00CE0373" w:rsidRDefault="00D34BFE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2.294.512</w:t>
            </w:r>
            <w:r w:rsidR="00E2618F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E2618F" w:rsidRPr="004A21EE" w:rsidRDefault="00642410" w:rsidP="00D32B7D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1.244.435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077FEB" w:rsidRDefault="00D34BFE" w:rsidP="004A15DE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 xml:space="preserve">          </w:t>
            </w:r>
            <w:r w:rsidR="00E2618F"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ab/>
            </w: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>1.523.612</w:t>
            </w:r>
            <w:r w:rsidR="00E2618F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733FA1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733FA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A21EE" w:rsidRDefault="008C50F5" w:rsidP="00733FA1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   </w:t>
            </w:r>
            <w:r w:rsidR="00642410">
              <w:rPr>
                <w:rFonts w:eastAsia="Times New Roman"/>
                <w:color w:val="000000"/>
                <w:sz w:val="20"/>
                <w:szCs w:val="20"/>
              </w:rPr>
              <w:t>106.192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077FEB" w:rsidRDefault="00D34BFE" w:rsidP="00D34BFE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ab/>
              <w:t xml:space="preserve">       128.432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ab/>
            </w:r>
            <w:r w:rsidR="00E2618F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A15DE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A21EE" w:rsidRDefault="001821EA" w:rsidP="00733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E2618F">
              <w:rPr>
                <w:sz w:val="20"/>
                <w:szCs w:val="20"/>
              </w:rPr>
              <w:t xml:space="preserve">     </w:t>
            </w:r>
            <w:r w:rsidR="00642410">
              <w:rPr>
                <w:sz w:val="20"/>
                <w:szCs w:val="20"/>
              </w:rPr>
              <w:t>512.308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 w:rsidR="00D34BFE" w:rsidRDefault="00D34BFE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E2618F" w:rsidRDefault="00D34BFE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642.468</w:t>
            </w:r>
          </w:p>
          <w:p w:rsidR="00E2618F" w:rsidRPr="00077FEB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 w:rsidP="00733FA1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7A3ECA" w:rsidRDefault="00E2618F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A21EE" w:rsidRDefault="00E2618F" w:rsidP="00D32B7D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="00642410">
              <w:rPr>
                <w:rFonts w:eastAsia="Times New Roman"/>
                <w:color w:val="000000"/>
                <w:sz w:val="18"/>
                <w:szCs w:val="18"/>
              </w:rPr>
              <w:t>442.768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E2618F" w:rsidRPr="00077FEB" w:rsidRDefault="00AC023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 xml:space="preserve">             478.275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4A21EE" w:rsidRDefault="00E2618F" w:rsidP="00D32B7D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077FEB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lastRenderedPageBreak/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E2618F" w:rsidRPr="00892E0D" w:rsidRDefault="00E2618F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E2618F" w:rsidRPr="00892E0D" w:rsidRDefault="00E2618F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AC0238" w:rsidRDefault="00AC0238" w:rsidP="00D32B7D">
            <w:pPr>
              <w:jc w:val="right"/>
              <w:rPr>
                <w:sz w:val="20"/>
                <w:szCs w:val="20"/>
              </w:rPr>
            </w:pPr>
          </w:p>
          <w:p w:rsidR="00E2618F" w:rsidRPr="00AC0238" w:rsidRDefault="00014DEF" w:rsidP="00D32B7D">
            <w:pPr>
              <w:jc w:val="right"/>
              <w:rPr>
                <w:sz w:val="20"/>
                <w:szCs w:val="20"/>
              </w:rPr>
            </w:pPr>
            <w:r w:rsidRPr="00AC0238">
              <w:rPr>
                <w:sz w:val="20"/>
                <w:szCs w:val="20"/>
              </w:rPr>
              <w:t>327.029</w:t>
            </w:r>
            <w:r w:rsidR="00E2618F" w:rsidRPr="00AC0238">
              <w:rPr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C0238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  <w:r w:rsidR="00AC0238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  <w:r w:rsidR="00AC0238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376.752</w:t>
            </w:r>
          </w:p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lastRenderedPageBreak/>
              <w:t xml:space="preserve">      </w:t>
            </w:r>
          </w:p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  <w:p w:rsidR="00E2618F" w:rsidRPr="00725DE3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618F" w:rsidRPr="00892E0D" w:rsidRDefault="00E2618F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618F" w:rsidRPr="00892E0D" w:rsidRDefault="00E2618F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618F" w:rsidRPr="00892E0D" w:rsidRDefault="00E2618F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618F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A21EE" w:rsidRDefault="00E2618F" w:rsidP="00D32B7D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  <w:r w:rsidR="00014DEF">
              <w:rPr>
                <w:rFonts w:eastAsia="Times New Roman"/>
                <w:color w:val="000000"/>
                <w:sz w:val="18"/>
                <w:szCs w:val="18"/>
              </w:rPr>
              <w:t>188.983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618F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725DE3" w:rsidRDefault="00AC0238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60.747</w:t>
            </w:r>
            <w:r w:rsidR="00E2618F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E2618F" w:rsidRPr="00892E0D" w:rsidRDefault="00E2618F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3ECA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D32B7D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2618F" w:rsidRPr="004A21EE" w:rsidRDefault="00014DEF" w:rsidP="00D32B7D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36.533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725DE3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AC0238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109.179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E2618F" w:rsidRPr="00892E0D" w:rsidRDefault="00E2618F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4A21EE" w:rsidRDefault="00E2618F" w:rsidP="00D32B7D">
            <w:pPr>
              <w:pStyle w:val="TableContents"/>
              <w:snapToGrid w:val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</w:t>
            </w:r>
            <w:r w:rsidR="00014DE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5.499.944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AC0238" w:rsidRDefault="00E2618F" w:rsidP="00AC0238">
            <w:pPr>
              <w:pStyle w:val="TableContents"/>
              <w:snapToGrid w:val="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AC0238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</w:t>
            </w:r>
            <w:r w:rsidR="00647AE9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</w:t>
            </w:r>
            <w:r w:rsidR="00AC0238" w:rsidRPr="00AC0238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3.864.179</w:t>
            </w:r>
            <w:r w:rsidRPr="00AC0238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E2618F" w:rsidRPr="00892E0D" w:rsidRDefault="00E2618F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E2618F" w:rsidRPr="001C660C" w:rsidRDefault="00014DEF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61D0A">
              <w:rPr>
                <w:rFonts w:ascii="Calibri" w:eastAsia="Times New Roman" w:hAnsi="Calibri" w:cs="StobiSerif Regular"/>
                <w:color w:val="000000"/>
                <w:sz w:val="18"/>
                <w:szCs w:val="18"/>
              </w:rPr>
              <w:t xml:space="preserve">           200.855</w:t>
            </w:r>
            <w:r w:rsidR="00E2618F" w:rsidRPr="001C660C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 w:rsidP="00D32B7D">
            <w:pPr>
              <w:pStyle w:val="TableContents"/>
              <w:snapToGrid w:val="0"/>
              <w:jc w:val="right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E2618F" w:rsidRPr="004A21EE" w:rsidRDefault="00AC0238" w:rsidP="00AC0238">
            <w:pPr>
              <w:pStyle w:val="TableContents"/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  <w:t>446.966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4A21EE" w:rsidRDefault="00E2618F">
            <w:pPr>
              <w:snapToGrid w:val="0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AC023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AC0238" w:rsidRDefault="00AC023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AC0238" w:rsidRPr="00AC0238" w:rsidRDefault="00AC0238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color w:val="000000"/>
                <w:sz w:val="18"/>
                <w:szCs w:val="18"/>
                <w:lang w:val="en-US"/>
              </w:rPr>
            </w:pPr>
            <w:r w:rsidRPr="00AC0238">
              <w:rPr>
                <w:rFonts w:ascii="StobiSerif Regular" w:eastAsia="Times New Roman"/>
                <w:b/>
                <w:color w:val="000000"/>
                <w:sz w:val="18"/>
                <w:szCs w:val="18"/>
                <w:lang w:val="en-US"/>
              </w:rPr>
              <w:t xml:space="preserve">       75.000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E2618F" w:rsidRPr="00892E0D" w:rsidRDefault="00E2618F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2618F" w:rsidRDefault="00E2618F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2618F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2618F" w:rsidRPr="00892E0D" w:rsidRDefault="00E2618F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7A3ECA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E2618F" w:rsidRPr="00892E0D" w:rsidRDefault="00E2618F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7A3ECA" w:rsidRDefault="00E2618F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7A3ECA" w:rsidRDefault="00E2618F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2618F" w:rsidRPr="00892E0D" w:rsidRDefault="00E2618F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4D2CD4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014DEF" w:rsidRDefault="00014DE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  </w:t>
            </w:r>
            <w:r w:rsidRPr="00014DEF">
              <w:rPr>
                <w:rFonts w:eastAsia="Times New Roman"/>
                <w:b/>
                <w:color w:val="000000"/>
                <w:sz w:val="18"/>
                <w:szCs w:val="18"/>
              </w:rPr>
              <w:t>31.196.435</w:t>
            </w:r>
            <w:r w:rsidR="00E2618F" w:rsidRPr="00014DEF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2618F" w:rsidRPr="00CE0373" w:rsidRDefault="00E2618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="00D34BFE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32.915.365</w:t>
            </w:r>
          </w:p>
          <w:p w:rsidR="00E2618F" w:rsidRPr="00892E0D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E2618F" w:rsidRPr="00892E0D" w:rsidRDefault="00E2618F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2618F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Pr="00892E0D" w:rsidRDefault="00E2618F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4A21EE" w:rsidRDefault="00014DEF" w:rsidP="00982E3C">
            <w:pPr>
              <w:jc w:val="center"/>
            </w:pPr>
            <w:r>
              <w:t>34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618F" w:rsidRDefault="00E2618F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E2618F" w:rsidRPr="004A21EE" w:rsidRDefault="00E2618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  <w:r w:rsidR="0003728B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43</w:t>
            </w:r>
            <w:bookmarkStart w:id="0" w:name="_GoBack"/>
            <w:bookmarkEnd w:id="0"/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2618F" w:rsidRPr="00892E0D" w:rsidRDefault="00E2618F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2618F" w:rsidRPr="00892E0D" w:rsidRDefault="00E2618F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E2618F" w:rsidRPr="00892E0D" w:rsidRDefault="00E2618F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E2618F" w:rsidRPr="00892E0D" w:rsidRDefault="00E2618F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E2618F" w:rsidRPr="00892E0D">
        <w:trPr>
          <w:trHeight w:val="587"/>
        </w:trPr>
        <w:tc>
          <w:tcPr>
            <w:tcW w:w="2884" w:type="dxa"/>
          </w:tcPr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EB187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</w:t>
            </w:r>
            <w:r w:rsidR="00014DEF">
              <w:rPr>
                <w:color w:val="000000"/>
                <w:sz w:val="18"/>
                <w:szCs w:val="18"/>
              </w:rPr>
              <w:t>.</w:t>
            </w:r>
            <w:r w:rsidRPr="00892E0D">
              <w:rPr>
                <w:color w:val="000000"/>
                <w:sz w:val="18"/>
                <w:szCs w:val="18"/>
              </w:rPr>
              <w:t>02</w:t>
            </w:r>
            <w:r w:rsidR="00014DEF">
              <w:rPr>
                <w:color w:val="000000"/>
                <w:sz w:val="18"/>
                <w:szCs w:val="18"/>
              </w:rPr>
              <w:t>.</w:t>
            </w:r>
            <w:r w:rsidRPr="00892E0D">
              <w:rPr>
                <w:color w:val="000000"/>
                <w:sz w:val="18"/>
                <w:szCs w:val="18"/>
              </w:rPr>
              <w:t>,20</w:t>
            </w:r>
            <w:r w:rsidR="00014D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880" w:type="dxa"/>
          </w:tcPr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2618F" w:rsidRPr="00892E0D" w:rsidRDefault="00E2618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2618F" w:rsidRPr="00EB187D" w:rsidRDefault="00E2618F" w:rsidP="00EB187D">
      <w:pPr>
        <w:tabs>
          <w:tab w:val="left" w:pos="4320"/>
          <w:tab w:val="left" w:pos="7650"/>
          <w:tab w:val="left" w:pos="8235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  <w:r>
        <w:rPr>
          <w:rFonts w:ascii="StobiSerif Regular" w:eastAsia="Times New Roman" w:cs="StobiSerif Regular"/>
          <w:color w:val="000000"/>
          <w:sz w:val="18"/>
          <w:szCs w:val="18"/>
          <w:lang w:val="en-US"/>
        </w:rPr>
        <w:t xml:space="preserve">                                       </w:t>
      </w:r>
      <w:r>
        <w:rPr>
          <w:rFonts w:ascii="StobiSerif Regular" w:eastAsia="Times New Roman" w:cs="StobiSerif Regular"/>
          <w:color w:val="000000"/>
          <w:sz w:val="18"/>
          <w:szCs w:val="18"/>
          <w:lang w:val="en-US"/>
        </w:rPr>
        <w:tab/>
      </w:r>
      <w:r>
        <w:rPr>
          <w:rFonts w:eastAsia="Times New Roman"/>
          <w:color w:val="000000"/>
          <w:sz w:val="18"/>
          <w:szCs w:val="18"/>
        </w:rPr>
        <w:t>Хаџере Османи</w:t>
      </w:r>
      <w:r>
        <w:rPr>
          <w:rFonts w:eastAsia="Times New Roman"/>
          <w:color w:val="000000"/>
          <w:sz w:val="18"/>
          <w:szCs w:val="18"/>
        </w:rPr>
        <w:tab/>
        <w:t>Дирек.</w:t>
      </w:r>
      <w:r>
        <w:rPr>
          <w:rFonts w:eastAsia="Times New Roman"/>
          <w:color w:val="000000"/>
          <w:sz w:val="18"/>
          <w:szCs w:val="18"/>
        </w:rPr>
        <w:tab/>
        <w:t>Скендер Асани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E2618F" w:rsidRPr="00892E0D">
        <w:trPr>
          <w:trHeight w:val="255"/>
        </w:trPr>
        <w:tc>
          <w:tcPr>
            <w:tcW w:w="10484" w:type="dxa"/>
            <w:vAlign w:val="bottom"/>
          </w:tcPr>
          <w:p w:rsidR="00E2618F" w:rsidRPr="00892E0D" w:rsidRDefault="00E2618F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E2618F" w:rsidRPr="00892E0D">
        <w:trPr>
          <w:trHeight w:val="255"/>
        </w:trPr>
        <w:tc>
          <w:tcPr>
            <w:tcW w:w="10484" w:type="dxa"/>
            <w:vAlign w:val="bottom"/>
          </w:tcPr>
          <w:p w:rsidR="00E2618F" w:rsidRPr="00892E0D" w:rsidRDefault="00E2618F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E2618F" w:rsidRPr="00892E0D">
        <w:trPr>
          <w:trHeight w:val="255"/>
        </w:trPr>
        <w:tc>
          <w:tcPr>
            <w:tcW w:w="10484" w:type="dxa"/>
            <w:vAlign w:val="bottom"/>
          </w:tcPr>
          <w:p w:rsidR="00E2618F" w:rsidRPr="00892E0D" w:rsidRDefault="00E2618F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E2618F" w:rsidRPr="00892E0D">
        <w:trPr>
          <w:trHeight w:val="255"/>
        </w:trPr>
        <w:tc>
          <w:tcPr>
            <w:tcW w:w="10484" w:type="dxa"/>
            <w:vAlign w:val="bottom"/>
          </w:tcPr>
          <w:p w:rsidR="00E2618F" w:rsidRPr="00892E0D" w:rsidRDefault="00E2618F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E2618F" w:rsidRPr="00892E0D" w:rsidRDefault="00E2618F">
      <w:pPr>
        <w:rPr>
          <w:sz w:val="18"/>
          <w:szCs w:val="18"/>
        </w:rPr>
      </w:pPr>
    </w:p>
    <w:p w:rsidR="00E2618F" w:rsidRPr="00892E0D" w:rsidRDefault="00E2618F">
      <w:pPr>
        <w:rPr>
          <w:color w:val="000000"/>
          <w:sz w:val="18"/>
          <w:szCs w:val="18"/>
        </w:rPr>
      </w:pPr>
    </w:p>
    <w:p w:rsidR="00E2618F" w:rsidRPr="00892E0D" w:rsidRDefault="00E2618F">
      <w:pPr>
        <w:rPr>
          <w:color w:val="000000"/>
          <w:sz w:val="18"/>
          <w:szCs w:val="18"/>
        </w:rPr>
      </w:pPr>
    </w:p>
    <w:p w:rsidR="00E2618F" w:rsidRPr="00892E0D" w:rsidRDefault="00E2618F">
      <w:pPr>
        <w:rPr>
          <w:sz w:val="18"/>
          <w:szCs w:val="18"/>
        </w:rPr>
      </w:pPr>
    </w:p>
    <w:sectPr w:rsidR="00E2618F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03" w:rsidRDefault="008D2603">
      <w:r>
        <w:separator/>
      </w:r>
    </w:p>
  </w:endnote>
  <w:endnote w:type="continuationSeparator" w:id="0">
    <w:p w:rsidR="008D2603" w:rsidRDefault="008D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03" w:rsidRDefault="008D2603">
      <w:r>
        <w:separator/>
      </w:r>
    </w:p>
  </w:footnote>
  <w:footnote w:type="continuationSeparator" w:id="0">
    <w:p w:rsidR="008D2603" w:rsidRDefault="008D2603">
      <w:r>
        <w:continuationSeparator/>
      </w:r>
    </w:p>
  </w:footnote>
  <w:footnote w:id="1">
    <w:p w:rsidR="00647AE9" w:rsidRDefault="00647AE9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647AE9" w:rsidRDefault="00647AE9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647AE9" w:rsidRPr="00892E0D" w:rsidRDefault="00647AE9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647AE9" w:rsidRDefault="00647AE9">
      <w:pPr>
        <w:spacing w:line="100" w:lineRule="atLeas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C6A"/>
    <w:rsid w:val="00014DEF"/>
    <w:rsid w:val="000350B9"/>
    <w:rsid w:val="0003728B"/>
    <w:rsid w:val="00077FEB"/>
    <w:rsid w:val="000828C4"/>
    <w:rsid w:val="000D6339"/>
    <w:rsid w:val="000F1B54"/>
    <w:rsid w:val="000F3D55"/>
    <w:rsid w:val="00102E5B"/>
    <w:rsid w:val="0010667B"/>
    <w:rsid w:val="00116163"/>
    <w:rsid w:val="00132C6A"/>
    <w:rsid w:val="001821EA"/>
    <w:rsid w:val="001C660C"/>
    <w:rsid w:val="001E3A5D"/>
    <w:rsid w:val="00220194"/>
    <w:rsid w:val="002310AC"/>
    <w:rsid w:val="002540F3"/>
    <w:rsid w:val="002A3432"/>
    <w:rsid w:val="002B6A76"/>
    <w:rsid w:val="002D2A27"/>
    <w:rsid w:val="0030728D"/>
    <w:rsid w:val="00312E48"/>
    <w:rsid w:val="00316D89"/>
    <w:rsid w:val="003547B2"/>
    <w:rsid w:val="00355DA4"/>
    <w:rsid w:val="00383966"/>
    <w:rsid w:val="003A2BCA"/>
    <w:rsid w:val="003C06EA"/>
    <w:rsid w:val="003C776C"/>
    <w:rsid w:val="003E72E2"/>
    <w:rsid w:val="00434E67"/>
    <w:rsid w:val="00457455"/>
    <w:rsid w:val="0047071F"/>
    <w:rsid w:val="00486A66"/>
    <w:rsid w:val="004A15DE"/>
    <w:rsid w:val="004A21EE"/>
    <w:rsid w:val="004B68D1"/>
    <w:rsid w:val="004D2CD4"/>
    <w:rsid w:val="004D4396"/>
    <w:rsid w:val="004F6C1B"/>
    <w:rsid w:val="005029D0"/>
    <w:rsid w:val="005038B1"/>
    <w:rsid w:val="00574EDE"/>
    <w:rsid w:val="005D1787"/>
    <w:rsid w:val="00612CF0"/>
    <w:rsid w:val="00642410"/>
    <w:rsid w:val="00647AE9"/>
    <w:rsid w:val="00652F43"/>
    <w:rsid w:val="00661D0A"/>
    <w:rsid w:val="006952BA"/>
    <w:rsid w:val="006E3877"/>
    <w:rsid w:val="00725DE3"/>
    <w:rsid w:val="00733FA1"/>
    <w:rsid w:val="00746B83"/>
    <w:rsid w:val="00757EE8"/>
    <w:rsid w:val="007913FB"/>
    <w:rsid w:val="007A3ECA"/>
    <w:rsid w:val="007B0CAC"/>
    <w:rsid w:val="007B6269"/>
    <w:rsid w:val="007E37A0"/>
    <w:rsid w:val="00825D00"/>
    <w:rsid w:val="0086198C"/>
    <w:rsid w:val="00861C8E"/>
    <w:rsid w:val="00870F3B"/>
    <w:rsid w:val="0087583D"/>
    <w:rsid w:val="00892E0D"/>
    <w:rsid w:val="008C50F5"/>
    <w:rsid w:val="008D2603"/>
    <w:rsid w:val="00940E5C"/>
    <w:rsid w:val="00951C6E"/>
    <w:rsid w:val="00974EEA"/>
    <w:rsid w:val="00977793"/>
    <w:rsid w:val="00982E3C"/>
    <w:rsid w:val="009A71A3"/>
    <w:rsid w:val="009B6D1D"/>
    <w:rsid w:val="009D03F3"/>
    <w:rsid w:val="009D3443"/>
    <w:rsid w:val="009F55C2"/>
    <w:rsid w:val="00A226A6"/>
    <w:rsid w:val="00A32B28"/>
    <w:rsid w:val="00A37B6E"/>
    <w:rsid w:val="00AC0238"/>
    <w:rsid w:val="00AF04CA"/>
    <w:rsid w:val="00AF3172"/>
    <w:rsid w:val="00B05065"/>
    <w:rsid w:val="00B10B9E"/>
    <w:rsid w:val="00B54B42"/>
    <w:rsid w:val="00B748EF"/>
    <w:rsid w:val="00B908F5"/>
    <w:rsid w:val="00BD5CF5"/>
    <w:rsid w:val="00C1642C"/>
    <w:rsid w:val="00C40C7D"/>
    <w:rsid w:val="00C87C8D"/>
    <w:rsid w:val="00C93FD0"/>
    <w:rsid w:val="00CC043D"/>
    <w:rsid w:val="00CC4330"/>
    <w:rsid w:val="00CD2587"/>
    <w:rsid w:val="00CE0373"/>
    <w:rsid w:val="00D14689"/>
    <w:rsid w:val="00D1649F"/>
    <w:rsid w:val="00D32B7D"/>
    <w:rsid w:val="00D34BFE"/>
    <w:rsid w:val="00D72F5F"/>
    <w:rsid w:val="00D87935"/>
    <w:rsid w:val="00DB53BC"/>
    <w:rsid w:val="00DE34C9"/>
    <w:rsid w:val="00E2618F"/>
    <w:rsid w:val="00EA5FF5"/>
    <w:rsid w:val="00EB187D"/>
    <w:rsid w:val="00EC6883"/>
    <w:rsid w:val="00ED2915"/>
    <w:rsid w:val="00F121B6"/>
    <w:rsid w:val="00F175D7"/>
    <w:rsid w:val="00F3021C"/>
    <w:rsid w:val="00F32011"/>
    <w:rsid w:val="00F7152B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61208"/>
  <w15:docId w15:val="{D4DAD7AC-A333-42CF-B1A8-25F81AB2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uiPriority w:val="99"/>
    <w:semiHidden/>
    <w:rsid w:val="000350B9"/>
    <w:rPr>
      <w:vertAlign w:val="superscript"/>
    </w:rPr>
  </w:style>
  <w:style w:type="character" w:styleId="EndnoteReference">
    <w:name w:val="endnote reference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861C8E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61C8E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861C8E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61C8E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„ДЕ“        </vt:lpstr>
    </vt:vector>
  </TitlesOfParts>
  <Company> 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Haxhere Osmani</cp:lastModifiedBy>
  <cp:revision>4</cp:revision>
  <cp:lastPrinted>2018-02-26T11:39:00Z</cp:lastPrinted>
  <dcterms:created xsi:type="dcterms:W3CDTF">2021-02-23T15:08:00Z</dcterms:created>
  <dcterms:modified xsi:type="dcterms:W3CDTF">2021-02-25T10:55:00Z</dcterms:modified>
</cp:coreProperties>
</file>